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B2B" w:rsidRPr="002C5C7A" w:rsidRDefault="007C2B2B" w:rsidP="007C2B2B">
      <w:pPr>
        <w:rPr>
          <w:rFonts w:ascii="Times New Roman" w:hAnsi="Times New Roman"/>
          <w:b/>
          <w:sz w:val="24"/>
          <w:szCs w:val="24"/>
        </w:rPr>
      </w:pPr>
      <w:r w:rsidRPr="002C5C7A">
        <w:rPr>
          <w:rFonts w:ascii="Times New Roman" w:hAnsi="Times New Roman"/>
          <w:b/>
          <w:sz w:val="24"/>
          <w:szCs w:val="24"/>
        </w:rPr>
        <w:t>TABLE S1 EFFECTS OF REPLACING FISH OIL WITH PALM OIL ON GROWTH AND FEED UTILIZATION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"/>
        <w:gridCol w:w="1437"/>
        <w:gridCol w:w="1226"/>
        <w:gridCol w:w="1226"/>
        <w:gridCol w:w="1315"/>
        <w:gridCol w:w="1315"/>
        <w:gridCol w:w="946"/>
      </w:tblGrid>
      <w:tr w:rsidR="007C2B2B" w:rsidRPr="002C5C7A" w:rsidTr="00AA113A"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5C7A">
              <w:rPr>
                <w:rFonts w:ascii="Times New Roman" w:hAnsi="Times New Roman"/>
                <w:b/>
                <w:sz w:val="20"/>
                <w:szCs w:val="20"/>
              </w:rPr>
              <w:t>Parameters</w:t>
            </w:r>
          </w:p>
        </w:tc>
        <w:tc>
          <w:tcPr>
            <w:tcW w:w="650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C2B2B" w:rsidRPr="002C5C7A" w:rsidRDefault="007C2B2B" w:rsidP="00AA113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5C7A">
              <w:rPr>
                <w:rFonts w:ascii="Times New Roman" w:hAnsi="Times New Roman"/>
                <w:b/>
                <w:sz w:val="20"/>
                <w:szCs w:val="20"/>
              </w:rPr>
              <w:t>Experimental Diets (%)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C2B2B" w:rsidRPr="002C5C7A" w:rsidTr="00AA113A"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</w:tcPr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5C7A">
              <w:rPr>
                <w:rFonts w:ascii="Times New Roman" w:hAnsi="Times New Roman"/>
                <w:b/>
                <w:sz w:val="20"/>
                <w:szCs w:val="20"/>
              </w:rPr>
              <w:t>PO 0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</w:tcPr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5C7A">
              <w:rPr>
                <w:rFonts w:ascii="Times New Roman" w:hAnsi="Times New Roman"/>
                <w:b/>
                <w:sz w:val="20"/>
                <w:szCs w:val="20"/>
              </w:rPr>
              <w:t>PO 25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</w:tcPr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5C7A">
              <w:rPr>
                <w:rFonts w:ascii="Times New Roman" w:hAnsi="Times New Roman"/>
                <w:b/>
                <w:sz w:val="20"/>
                <w:szCs w:val="20"/>
              </w:rPr>
              <w:t>PO 50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</w:tcPr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5C7A">
              <w:rPr>
                <w:rFonts w:ascii="Times New Roman" w:hAnsi="Times New Roman"/>
                <w:b/>
                <w:sz w:val="20"/>
                <w:szCs w:val="20"/>
              </w:rPr>
              <w:t>PO 75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</w:tcPr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5C7A">
              <w:rPr>
                <w:rFonts w:ascii="Times New Roman" w:hAnsi="Times New Roman"/>
                <w:b/>
                <w:sz w:val="20"/>
                <w:szCs w:val="20"/>
              </w:rPr>
              <w:t>PO100</w:t>
            </w: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</w:tcPr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5C7A">
              <w:rPr>
                <w:rFonts w:ascii="Times New Roman" w:hAnsi="Times New Roman"/>
                <w:b/>
                <w:sz w:val="20"/>
                <w:szCs w:val="20"/>
              </w:rPr>
              <w:t>p-value</w:t>
            </w:r>
          </w:p>
        </w:tc>
      </w:tr>
      <w:tr w:rsidR="007C2B2B" w:rsidRPr="002C5C7A" w:rsidTr="00AA113A">
        <w:tc>
          <w:tcPr>
            <w:tcW w:w="1402" w:type="dxa"/>
            <w:tcBorders>
              <w:top w:val="single" w:sz="4" w:space="0" w:color="auto"/>
            </w:tcBorders>
          </w:tcPr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C5C7A">
              <w:rPr>
                <w:rFonts w:ascii="Times New Roman" w:hAnsi="Times New Roman"/>
                <w:sz w:val="20"/>
                <w:szCs w:val="20"/>
              </w:rPr>
              <w:t xml:space="preserve">IW </w:t>
            </w:r>
            <w:r w:rsidRPr="002C5C7A">
              <w:rPr>
                <w:rFonts w:ascii="Times New Roman" w:hAnsi="Times New Roman"/>
                <w:color w:val="000000"/>
                <w:sz w:val="20"/>
                <w:szCs w:val="20"/>
              </w:rPr>
              <w:t>(g)</w:t>
            </w:r>
            <w:r w:rsidRPr="002C5C7A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437" w:type="dxa"/>
            <w:tcBorders>
              <w:top w:val="single" w:sz="4" w:space="0" w:color="auto"/>
            </w:tcBorders>
          </w:tcPr>
          <w:p w:rsidR="007C2B2B" w:rsidRPr="002C5C7A" w:rsidRDefault="007C2B2B" w:rsidP="00AA113A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2C5C7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9.35±0.05</w:t>
            </w:r>
          </w:p>
        </w:tc>
        <w:tc>
          <w:tcPr>
            <w:tcW w:w="1215" w:type="dxa"/>
            <w:tcBorders>
              <w:top w:val="single" w:sz="4" w:space="0" w:color="auto"/>
            </w:tcBorders>
          </w:tcPr>
          <w:p w:rsidR="007C2B2B" w:rsidRPr="002C5C7A" w:rsidRDefault="007C2B2B" w:rsidP="00AA113A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2C5C7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9.29±0.03</w:t>
            </w:r>
          </w:p>
        </w:tc>
        <w:tc>
          <w:tcPr>
            <w:tcW w:w="1226" w:type="dxa"/>
            <w:tcBorders>
              <w:top w:val="single" w:sz="4" w:space="0" w:color="auto"/>
            </w:tcBorders>
          </w:tcPr>
          <w:p w:rsidR="007C2B2B" w:rsidRPr="002C5C7A" w:rsidRDefault="007C2B2B" w:rsidP="00AA113A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2C5C7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9.30±0.05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:rsidR="007C2B2B" w:rsidRPr="002C5C7A" w:rsidRDefault="007C2B2B" w:rsidP="00AA113A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2C5C7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9.38±0.05</w:t>
            </w:r>
          </w:p>
        </w:tc>
        <w:tc>
          <w:tcPr>
            <w:tcW w:w="1315" w:type="dxa"/>
            <w:tcBorders>
              <w:top w:val="single" w:sz="4" w:space="0" w:color="auto"/>
            </w:tcBorders>
          </w:tcPr>
          <w:p w:rsidR="007C2B2B" w:rsidRPr="002C5C7A" w:rsidRDefault="007C2B2B" w:rsidP="00AA113A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2C5C7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9.42±0.03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7C2B2B" w:rsidRPr="002C5C7A" w:rsidRDefault="007C2B2B" w:rsidP="00AA113A">
            <w:pPr>
              <w:rPr>
                <w:rStyle w:val="fontstyle01"/>
                <w:rFonts w:ascii="Times New Roman" w:hAnsi="Times New Roman"/>
                <w:sz w:val="20"/>
                <w:szCs w:val="20"/>
              </w:rPr>
            </w:pPr>
            <w:r w:rsidRPr="002C5C7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0.354</w:t>
            </w:r>
          </w:p>
        </w:tc>
      </w:tr>
      <w:tr w:rsidR="007C2B2B" w:rsidRPr="002C5C7A" w:rsidTr="00AA113A">
        <w:tc>
          <w:tcPr>
            <w:tcW w:w="1402" w:type="dxa"/>
          </w:tcPr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2C5C7A">
              <w:rPr>
                <w:rFonts w:ascii="Times New Roman" w:hAnsi="Times New Roman"/>
                <w:sz w:val="20"/>
                <w:szCs w:val="20"/>
              </w:rPr>
              <w:t xml:space="preserve">WG </w:t>
            </w:r>
            <w:r w:rsidRPr="002C5C7A">
              <w:rPr>
                <w:rFonts w:ascii="Times New Roman" w:hAnsi="Times New Roman"/>
                <w:color w:val="000000"/>
                <w:sz w:val="20"/>
                <w:szCs w:val="20"/>
              </w:rPr>
              <w:t>(g)</w:t>
            </w:r>
            <w:r w:rsidRPr="002C5C7A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437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56.98±0.96</w:t>
            </w:r>
            <w:r w:rsidRPr="002C5C7A">
              <w:rPr>
                <w:rStyle w:val="fontstyle01"/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53.18±1.26</w:t>
            </w:r>
            <w:r w:rsidRPr="002C5C7A">
              <w:rPr>
                <w:rStyle w:val="fontstyle01"/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6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60.54±2.14</w:t>
            </w:r>
            <w:r w:rsidRPr="002C5C7A">
              <w:rPr>
                <w:rStyle w:val="fontstyle01"/>
                <w:rFonts w:ascii="Times New Roman" w:hAnsi="Times New Roman"/>
                <w:sz w:val="20"/>
                <w:szCs w:val="20"/>
                <w:vertAlign w:val="superscript"/>
              </w:rPr>
              <w:t>b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55.04±0.71</w:t>
            </w:r>
            <w:r w:rsidRPr="002C5C7A">
              <w:rPr>
                <w:rStyle w:val="fontstyle01"/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55.63±1.17</w:t>
            </w:r>
            <w:r w:rsidRPr="002C5C7A">
              <w:rPr>
                <w:rStyle w:val="fontstyle01"/>
                <w:rFonts w:ascii="Times New Roman" w:hAnsi="Times New Roman"/>
                <w:sz w:val="20"/>
                <w:szCs w:val="20"/>
                <w:vertAlign w:val="superscript"/>
              </w:rPr>
              <w:t>ab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6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0.030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C2B2B" w:rsidRPr="002C5C7A" w:rsidTr="00AA113A">
        <w:tc>
          <w:tcPr>
            <w:tcW w:w="1402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5C7A">
              <w:rPr>
                <w:rFonts w:ascii="Times New Roman" w:hAnsi="Times New Roman"/>
                <w:sz w:val="20"/>
                <w:szCs w:val="20"/>
              </w:rPr>
              <w:t>FI</w:t>
            </w:r>
            <w:r w:rsidRPr="002C5C7A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37" w:type="dxa"/>
          </w:tcPr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C5C7A">
              <w:rPr>
                <w:rFonts w:ascii="Times New Roman" w:hAnsi="Times New Roman"/>
                <w:sz w:val="20"/>
                <w:szCs w:val="20"/>
              </w:rPr>
              <w:t>7</w:t>
            </w: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6</w:t>
            </w:r>
            <w:r w:rsidRPr="002C5C7A">
              <w:rPr>
                <w:rFonts w:ascii="Times New Roman" w:hAnsi="Times New Roman"/>
                <w:sz w:val="20"/>
                <w:szCs w:val="20"/>
              </w:rPr>
              <w:t>.74</w:t>
            </w: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±0.21</w:t>
            </w:r>
          </w:p>
        </w:tc>
        <w:tc>
          <w:tcPr>
            <w:tcW w:w="12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76.27±0.26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6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77.64±0.26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76.69±0.39</w:t>
            </w:r>
          </w:p>
          <w:p w:rsidR="007C2B2B" w:rsidRPr="002C5C7A" w:rsidRDefault="007C2B2B" w:rsidP="00AA113A">
            <w:pPr>
              <w:tabs>
                <w:tab w:val="left" w:pos="90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2C5C7A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  <w:tc>
          <w:tcPr>
            <w:tcW w:w="13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77.19±0.35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6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0.076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C2B2B" w:rsidRPr="002C5C7A" w:rsidTr="00AA113A">
        <w:tc>
          <w:tcPr>
            <w:tcW w:w="1402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5C7A">
              <w:rPr>
                <w:rFonts w:ascii="Times New Roman" w:hAnsi="Times New Roman"/>
                <w:sz w:val="20"/>
                <w:szCs w:val="20"/>
              </w:rPr>
              <w:t>FCR</w:t>
            </w:r>
            <w:r w:rsidRPr="002C5C7A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437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1.34±0.02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1.43±0.03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6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1.28±0.03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1.39±0.02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1.38±0.03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6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Fonts w:ascii="Times New Roman" w:hAnsi="Times New Roman"/>
                <w:sz w:val="20"/>
                <w:szCs w:val="20"/>
              </w:rPr>
              <w:t>0.070</w:t>
            </w:r>
          </w:p>
        </w:tc>
      </w:tr>
      <w:tr w:rsidR="007C2B2B" w:rsidRPr="002C5C7A" w:rsidTr="00AA113A">
        <w:tc>
          <w:tcPr>
            <w:tcW w:w="1402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5C7A">
              <w:rPr>
                <w:rFonts w:ascii="Times New Roman" w:hAnsi="Times New Roman"/>
                <w:sz w:val="20"/>
                <w:szCs w:val="20"/>
              </w:rPr>
              <w:t xml:space="preserve">SR </w:t>
            </w:r>
            <w:r w:rsidRPr="002C5C7A"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r w:rsidRPr="002C5C7A">
              <w:rPr>
                <w:rFonts w:ascii="Times New Roman" w:hAnsi="Times New Roman"/>
                <w:sz w:val="20"/>
                <w:szCs w:val="20"/>
              </w:rPr>
              <w:t>%)</w:t>
            </w:r>
            <w:r w:rsidRPr="002C5C7A">
              <w:rPr>
                <w:rFonts w:ascii="Times New Roman" w:hAnsi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437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100.00±0.00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100.00±0.00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6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100.00±0.00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100.00±0.00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100.00±0.00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6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Fonts w:ascii="Times New Roman" w:hAnsi="Times New Roman"/>
                <w:sz w:val="20"/>
                <w:szCs w:val="20"/>
              </w:rPr>
              <w:t>N/A</w:t>
            </w:r>
          </w:p>
        </w:tc>
      </w:tr>
      <w:tr w:rsidR="007C2B2B" w:rsidRPr="002C5C7A" w:rsidTr="00AA113A">
        <w:tc>
          <w:tcPr>
            <w:tcW w:w="1402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5C7A">
              <w:rPr>
                <w:rFonts w:ascii="Times New Roman" w:hAnsi="Times New Roman"/>
                <w:sz w:val="20"/>
                <w:szCs w:val="20"/>
              </w:rPr>
              <w:t>C</w:t>
            </w:r>
            <w:r w:rsidRPr="002C5C7A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437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2.14 ±0.06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1.99 ±0.06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6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2.16 ±0.06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2.07 ±0.06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2.02 ±0.04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6" w:type="dxa"/>
          </w:tcPr>
          <w:p w:rsidR="007C2B2B" w:rsidRPr="002C5C7A" w:rsidRDefault="007C2B2B" w:rsidP="00AA113A">
            <w:pPr>
              <w:rPr>
                <w:rFonts w:ascii="Times New Roman" w:hAnsi="Times New Roman"/>
                <w:sz w:val="20"/>
                <w:szCs w:val="20"/>
              </w:rPr>
            </w:pPr>
            <w:r w:rsidRPr="002C5C7A">
              <w:rPr>
                <w:rStyle w:val="fontstyle01"/>
                <w:rFonts w:ascii="Times New Roman" w:hAnsi="Times New Roman"/>
                <w:sz w:val="20"/>
                <w:szCs w:val="20"/>
              </w:rPr>
              <w:t>0.278</w:t>
            </w:r>
          </w:p>
          <w:p w:rsidR="007C2B2B" w:rsidRPr="002C5C7A" w:rsidRDefault="007C2B2B" w:rsidP="00AA113A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C2B2B" w:rsidRPr="002C5C7A" w:rsidRDefault="007C2B2B" w:rsidP="007C2B2B">
      <w:pPr>
        <w:rPr>
          <w:rFonts w:ascii="MinionPro-Regular" w:hAnsi="MinionPro-Regular"/>
          <w:color w:val="000000"/>
          <w:sz w:val="20"/>
          <w:szCs w:val="24"/>
        </w:rPr>
      </w:pPr>
      <w:r w:rsidRPr="002C5C7A">
        <w:rPr>
          <w:rFonts w:ascii="MinionPro-Regular" w:hAnsi="MinionPro-Regular"/>
          <w:color w:val="000000"/>
          <w:sz w:val="20"/>
          <w:szCs w:val="24"/>
          <w:vertAlign w:val="superscript"/>
        </w:rPr>
        <w:t>1</w:t>
      </w:r>
      <w:r w:rsidRPr="002C5C7A">
        <w:rPr>
          <w:rFonts w:ascii="MinionPro-Regular" w:hAnsi="MinionPro-Regular"/>
          <w:color w:val="000000"/>
          <w:sz w:val="20"/>
          <w:szCs w:val="24"/>
        </w:rPr>
        <w:t>Initial weight</w:t>
      </w:r>
    </w:p>
    <w:p w:rsidR="007C2B2B" w:rsidRDefault="007C2B2B" w:rsidP="007C2B2B">
      <w:pPr>
        <w:rPr>
          <w:rFonts w:ascii="MinionPro-Regular" w:hAnsi="MinionPro-Regular"/>
          <w:color w:val="000000"/>
          <w:sz w:val="20"/>
          <w:szCs w:val="24"/>
        </w:rPr>
      </w:pPr>
      <w:r w:rsidRPr="002C5C7A">
        <w:rPr>
          <w:rFonts w:ascii="MinionPro-Regular" w:hAnsi="MinionPro-Regular"/>
          <w:color w:val="000000"/>
          <w:sz w:val="20"/>
          <w:szCs w:val="24"/>
          <w:vertAlign w:val="superscript"/>
        </w:rPr>
        <w:t>2</w:t>
      </w:r>
      <w:r w:rsidRPr="002C5C7A">
        <w:rPr>
          <w:rFonts w:ascii="MinionPro-Regular" w:hAnsi="MinionPro-Regular"/>
          <w:color w:val="000000"/>
          <w:sz w:val="20"/>
          <w:szCs w:val="24"/>
        </w:rPr>
        <w:t>Weight Gain;</w:t>
      </w:r>
    </w:p>
    <w:p w:rsidR="007C2B2B" w:rsidRDefault="007C2B2B" w:rsidP="007C2B2B">
      <w:pPr>
        <w:rPr>
          <w:rFonts w:ascii="MinionPro-Regular" w:hAnsi="MinionPro-Regular"/>
          <w:color w:val="000000"/>
          <w:sz w:val="20"/>
          <w:szCs w:val="24"/>
        </w:rPr>
      </w:pPr>
      <w:r w:rsidRPr="002C5C7A">
        <w:rPr>
          <w:rFonts w:ascii="MinionPro-Regular" w:hAnsi="MinionPro-Regular"/>
          <w:color w:val="000000"/>
          <w:sz w:val="20"/>
          <w:szCs w:val="24"/>
          <w:vertAlign w:val="superscript"/>
        </w:rPr>
        <w:t>3</w:t>
      </w:r>
      <w:r w:rsidRPr="002C5C7A">
        <w:rPr>
          <w:rFonts w:ascii="MinionPro-Regular" w:hAnsi="MinionPro-Regular"/>
          <w:color w:val="000000"/>
          <w:sz w:val="20"/>
          <w:szCs w:val="24"/>
        </w:rPr>
        <w:t>Feed Intake;</w:t>
      </w:r>
    </w:p>
    <w:p w:rsidR="007C2B2B" w:rsidRDefault="007C2B2B" w:rsidP="007C2B2B">
      <w:pPr>
        <w:rPr>
          <w:rFonts w:ascii="MinionPro-Regular" w:hAnsi="MinionPro-Regular"/>
          <w:color w:val="000000"/>
          <w:sz w:val="20"/>
          <w:szCs w:val="24"/>
        </w:rPr>
      </w:pPr>
      <w:r w:rsidRPr="002C5C7A">
        <w:rPr>
          <w:rFonts w:ascii="MinionPro-Regular" w:hAnsi="MinionPro-Regular"/>
          <w:color w:val="000000"/>
          <w:sz w:val="20"/>
          <w:szCs w:val="24"/>
          <w:vertAlign w:val="superscript"/>
        </w:rPr>
        <w:t>4</w:t>
      </w:r>
      <w:r w:rsidRPr="002C5C7A">
        <w:rPr>
          <w:rFonts w:ascii="MinionPro-Regular" w:hAnsi="MinionPro-Regular"/>
          <w:color w:val="000000"/>
          <w:sz w:val="20"/>
          <w:szCs w:val="24"/>
        </w:rPr>
        <w:t>Feed Conversion Ratio;</w:t>
      </w:r>
    </w:p>
    <w:p w:rsidR="007C2B2B" w:rsidRDefault="007C2B2B" w:rsidP="007C2B2B">
      <w:pPr>
        <w:rPr>
          <w:rFonts w:ascii="MinionPro-Regular" w:hAnsi="MinionPro-Regular"/>
          <w:color w:val="000000"/>
          <w:sz w:val="20"/>
          <w:szCs w:val="24"/>
        </w:rPr>
      </w:pPr>
      <w:r w:rsidRPr="002C5C7A">
        <w:rPr>
          <w:rFonts w:ascii="MinionPro-Regular" w:hAnsi="MinionPro-Regular"/>
          <w:color w:val="000000"/>
          <w:sz w:val="20"/>
          <w:szCs w:val="24"/>
          <w:vertAlign w:val="superscript"/>
        </w:rPr>
        <w:t>5</w:t>
      </w:r>
      <w:r w:rsidRPr="002C5C7A">
        <w:rPr>
          <w:rFonts w:ascii="MinionPro-Regular" w:hAnsi="MinionPro-Regular"/>
          <w:color w:val="000000"/>
          <w:sz w:val="20"/>
          <w:szCs w:val="24"/>
        </w:rPr>
        <w:t>Survival Rate;</w:t>
      </w:r>
    </w:p>
    <w:p w:rsidR="007C2B2B" w:rsidRPr="002C5C7A" w:rsidRDefault="007C2B2B" w:rsidP="007C2B2B">
      <w:pPr>
        <w:rPr>
          <w:rFonts w:ascii="MinionPro-Regular" w:hAnsi="MinionPro-Regular"/>
          <w:color w:val="000000"/>
          <w:sz w:val="20"/>
          <w:szCs w:val="24"/>
        </w:rPr>
      </w:pPr>
      <w:r w:rsidRPr="002C5C7A">
        <w:rPr>
          <w:rFonts w:ascii="MinionPro-Regular" w:hAnsi="MinionPro-Regular"/>
          <w:color w:val="000000"/>
          <w:sz w:val="20"/>
          <w:szCs w:val="24"/>
          <w:vertAlign w:val="superscript"/>
        </w:rPr>
        <w:t>6</w:t>
      </w:r>
      <w:r w:rsidRPr="002C5C7A">
        <w:rPr>
          <w:rFonts w:ascii="MinionPro-Regular" w:hAnsi="MinionPro-Regular"/>
          <w:color w:val="000000"/>
          <w:sz w:val="20"/>
          <w:szCs w:val="24"/>
        </w:rPr>
        <w:t xml:space="preserve">Condition Factor; </w:t>
      </w:r>
    </w:p>
    <w:p w:rsidR="007C2B2B" w:rsidRDefault="007C2B2B" w:rsidP="007C2B2B">
      <w:pPr>
        <w:rPr>
          <w:rFonts w:ascii="MinionPro-Regular" w:hAnsi="MinionPro-Regular"/>
          <w:color w:val="000000"/>
          <w:sz w:val="16"/>
          <w:szCs w:val="16"/>
        </w:rPr>
      </w:pPr>
      <w:r w:rsidRPr="002C5C7A">
        <w:rPr>
          <w:rFonts w:ascii="MinionPro-Regular" w:hAnsi="MinionPro-Regular"/>
          <w:color w:val="000000"/>
          <w:sz w:val="20"/>
          <w:szCs w:val="24"/>
        </w:rPr>
        <w:t>Values are mean ± SEM (n = 3). Different superscripts indicate significant difference among different treatments (</w:t>
      </w:r>
      <w:r w:rsidRPr="002C5C7A">
        <w:rPr>
          <w:rFonts w:ascii="MinionPro-It" w:hAnsi="MinionPro-It"/>
          <w:i/>
          <w:iCs/>
          <w:color w:val="000000"/>
          <w:sz w:val="20"/>
          <w:szCs w:val="24"/>
        </w:rPr>
        <w:t>P</w:t>
      </w:r>
      <w:r w:rsidRPr="002C5C7A">
        <w:rPr>
          <w:rFonts w:ascii="TeX_CM_Maths_Italic" w:hAnsi="TeX_CM_Maths_Italic"/>
          <w:i/>
          <w:iCs/>
          <w:color w:val="000000"/>
          <w:sz w:val="20"/>
          <w:szCs w:val="24"/>
        </w:rPr>
        <w:t>&lt;</w:t>
      </w:r>
      <w:r w:rsidRPr="002C5C7A">
        <w:rPr>
          <w:rFonts w:ascii="MinionPro-Regular" w:hAnsi="MinionPro-Regular"/>
          <w:color w:val="000000"/>
          <w:sz w:val="20"/>
          <w:szCs w:val="24"/>
        </w:rPr>
        <w:t>0.05).</w:t>
      </w:r>
    </w:p>
    <w:p w:rsidR="006F75BA" w:rsidRDefault="006F75BA">
      <w:bookmarkStart w:id="0" w:name="_GoBack"/>
      <w:bookmarkEnd w:id="0"/>
    </w:p>
    <w:sectPr w:rsidR="006F7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Condensed">
    <w:altName w:val="Times New Roman"/>
    <w:panose1 w:val="00000000000000000000"/>
    <w:charset w:val="00"/>
    <w:family w:val="roman"/>
    <w:notTrueType/>
    <w:pitch w:val="default"/>
  </w:font>
  <w:font w:name="Minion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MinionPro-It">
    <w:altName w:val="Times New Roman"/>
    <w:panose1 w:val="00000000000000000000"/>
    <w:charset w:val="00"/>
    <w:family w:val="roman"/>
    <w:notTrueType/>
    <w:pitch w:val="default"/>
  </w:font>
  <w:font w:name="TeX_CM_Maths_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2B"/>
    <w:rsid w:val="00023F53"/>
    <w:rsid w:val="004A15F9"/>
    <w:rsid w:val="00685D56"/>
    <w:rsid w:val="006F75BA"/>
    <w:rsid w:val="007C2B2B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C2B2B"/>
    <w:rPr>
      <w:rFonts w:ascii="Helvetica-Condensed" w:hAnsi="Helvetica-Condensed" w:hint="default"/>
      <w:b w:val="0"/>
      <w:bCs w:val="0"/>
      <w:i w:val="0"/>
      <w:iCs w:val="0"/>
      <w:color w:val="000000"/>
      <w:sz w:val="16"/>
      <w:szCs w:val="16"/>
    </w:rPr>
  </w:style>
  <w:style w:type="table" w:styleId="TableGrid">
    <w:name w:val="Table Grid"/>
    <w:basedOn w:val="TableNormal"/>
    <w:uiPriority w:val="99"/>
    <w:rsid w:val="007C2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C2B2B"/>
    <w:rPr>
      <w:rFonts w:ascii="Helvetica-Condensed" w:hAnsi="Helvetica-Condensed" w:hint="default"/>
      <w:b w:val="0"/>
      <w:bCs w:val="0"/>
      <w:i w:val="0"/>
      <w:iCs w:val="0"/>
      <w:color w:val="000000"/>
      <w:sz w:val="16"/>
      <w:szCs w:val="16"/>
    </w:rPr>
  </w:style>
  <w:style w:type="table" w:styleId="TableGrid">
    <w:name w:val="Table Grid"/>
    <w:basedOn w:val="TableNormal"/>
    <w:uiPriority w:val="99"/>
    <w:rsid w:val="007C2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701</Characters>
  <Application>Microsoft Office Word</Application>
  <DocSecurity>0</DocSecurity>
  <Lines>31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2019-11-09T05:43:00Z</dcterms:created>
  <dcterms:modified xsi:type="dcterms:W3CDTF">2019-11-09T05:44:00Z</dcterms:modified>
</cp:coreProperties>
</file>